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379413</wp:posOffset>
                </wp:positionH>
                <wp:positionV relativeFrom="margin">
                  <wp:posOffset>4090353</wp:posOffset>
                </wp:positionV>
                <wp:extent cx="5768975" cy="2207260"/>
                <wp:effectExtent b="0" l="0" r="0" t="0"/>
                <wp:wrapSquare wrapText="bothSides" distB="0" distT="0" distL="114300" distR="11430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66540" y="2681460"/>
                          <a:ext cx="5758920" cy="2197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24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1"/>
                                <w:i w:val="0"/>
                                <w:smallCaps w:val="0"/>
                                <w:strike w:val="0"/>
                                <w:color w:val="05336e"/>
                                <w:sz w:val="56"/>
                                <w:vertAlign w:val="baseline"/>
                              </w:rPr>
                              <w:t xml:space="preserve">Анализ и интерпретация данных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379413</wp:posOffset>
                </wp:positionH>
                <wp:positionV relativeFrom="margin">
                  <wp:posOffset>4090353</wp:posOffset>
                </wp:positionV>
                <wp:extent cx="5768975" cy="2207260"/>
                <wp:effectExtent b="0" l="0" r="0" t="0"/>
                <wp:wrapSquare wrapText="bothSides" distB="0" distT="0" distL="114300" distR="114300"/>
                <wp:docPr id="1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8975" cy="2207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2628900</wp:posOffset>
                </wp:positionV>
                <wp:extent cx="4923155" cy="842645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89540" y="3363840"/>
                          <a:ext cx="4912920" cy="83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5336e"/>
                                <w:sz w:val="40"/>
                                <w:vertAlign w:val="baseline"/>
                              </w:rPr>
                              <w:t xml:space="preserve">В.В. Геппенер, А.И. Сучков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800100</wp:posOffset>
                </wp:positionH>
                <wp:positionV relativeFrom="paragraph">
                  <wp:posOffset>2628900</wp:posOffset>
                </wp:positionV>
                <wp:extent cx="4923155" cy="842645"/>
                <wp:effectExtent b="0" l="0" r="0" t="0"/>
                <wp:wrapNone/>
                <wp:docPr id="1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23155" cy="8426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6464300</wp:posOffset>
                </wp:positionV>
                <wp:extent cx="5360035" cy="82931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71020" y="3370500"/>
                          <a:ext cx="5349960" cy="81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311.9999885559082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rebuchet MS" w:cs="Trebuchet MS" w:eastAsia="Trebuchet MS" w:hAnsi="Trebuchet MS"/>
                                <w:b w:val="0"/>
                                <w:i w:val="0"/>
                                <w:smallCaps w:val="0"/>
                                <w:strike w:val="0"/>
                                <w:color w:val="05336e"/>
                                <w:sz w:val="40"/>
                                <w:vertAlign w:val="baseline"/>
                              </w:rPr>
                              <w:t xml:space="preserve">Линейный дискриминантный анализ для р &gt; 1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571500</wp:posOffset>
                </wp:positionH>
                <wp:positionV relativeFrom="paragraph">
                  <wp:posOffset>6464300</wp:posOffset>
                </wp:positionV>
                <wp:extent cx="5360035" cy="829310"/>
                <wp:effectExtent b="0" l="0" r="0" t="0"/>
                <wp:wrapNone/>
                <wp:docPr id="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60035" cy="8293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1"/>
        <w:ind w:left="432" w:firstLine="0"/>
        <w:rPr/>
      </w:pPr>
      <w:r w:rsidDel="00000000" w:rsidR="00000000" w:rsidRPr="00000000">
        <w:rPr>
          <w:rtl w:val="0"/>
        </w:rPr>
        <w:t xml:space="preserve">Линейный дискриминантный анализ для р &gt; 1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Расширим LDA-классификатор на случай с несколькими предикторами. Для этого предположим, что вектор </w:t>
      </w:r>
      <m:oMath>
        <m:r>
          <w:rPr/>
          <m:t xml:space="preserve">X = (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1</m:t>
            </m:r>
          </m:sub>
        </m:sSub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2</m:t>
            </m:r>
          </m:sub>
        </m:sSub>
        <m:r>
          <w:rPr/>
          <m:t xml:space="preserve">, </m:t>
        </m:r>
        <m:r>
          <w:rPr/>
          <m:t>⋯</m:t>
        </m:r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 xml:space="preserve">X</m:t>
            </m:r>
          </m:e>
          <m:sub>
            <m:r>
              <w:rPr/>
              <m:t xml:space="preserve">p</m:t>
            </m:r>
          </m:sub>
        </m:sSub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 извлечен из многомерного гауссова распределения со специфичным для каждого класса вектором математического ожидания и общей ковариационной матрицей: </w:t>
      </w:r>
    </w:p>
    <w:p w:rsidR="00000000" w:rsidDel="00000000" w:rsidP="00000000" w:rsidRDefault="00000000" w:rsidRPr="00000000" w14:paraId="00000004">
      <w:pPr>
        <w:ind w:left="0" w:firstLine="0"/>
        <w:jc w:val="center"/>
        <w:rPr/>
      </w:pPr>
      <m:oMath>
        <m:r>
          <w:rPr/>
          <m:t xml:space="preserve">f(x)=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(2</m:t>
            </m:r>
            <m:r>
              <w:rPr/>
              <m:t>π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)</m:t>
                </m:r>
              </m:e>
              <m:sup>
                <m:r>
                  <w:rPr/>
                  <m:t xml:space="preserve">p/2</m:t>
                </m:r>
              </m:sup>
            </m:sSup>
            <m:rad>
              <m:radPr>
                <m:degHide m:val="1"/>
                <m:ctrlPr>
                  <w:rPr/>
                </m:ctrlPr>
              </m:radPr>
              <m:e>
                <m:box>
                  <m:boxPr>
                    <m:opEmu m:val="1"/>
                    <m:ctrlPr>
                      <w:rPr/>
                    </m:ctrlPr>
                  </m:boxPr>
                  <m:e>
                    <m:r>
                      <w:rPr/>
                      <m:t>det</m:t>
                    </m:r>
                  </m:e>
                </m:box>
                <m:r>
                  <w:rPr/>
                  <m:t>Σ</m:t>
                </m:r>
              </m:e>
            </m:rad>
          </m:den>
        </m:f>
        <m:box>
          <m:boxPr>
            <m:opEmu m:val="1"/>
            <m:ctrlPr>
              <w:rPr/>
            </m:ctrlPr>
          </m:boxPr>
          <m:e>
            <m:r>
              <w:rPr/>
              <m:t>exp</m:t>
            </m:r>
          </m:e>
        </m:box>
        <m:d>
          <m:dPr>
            <m:begChr m:val="("/>
            <m:endChr m:val=")"/>
            <m:ctrlPr>
              <w:rPr/>
            </m:ctrlPr>
          </m:dPr>
          <m:e>
            <m:r>
              <w:rPr/>
              <m:t xml:space="preserve">-</m:t>
            </m:r>
            <m:f>
              <m:fPr>
                <m:ctrlPr>
                  <w:rPr/>
                </m:ctrlPr>
              </m:fPr>
              <m:num>
                <m:r>
                  <w:rPr/>
                  <m:t xml:space="preserve">1</m:t>
                </m:r>
              </m:num>
              <m:den>
                <m:r>
                  <w:rPr/>
                  <m:t xml:space="preserve">2</m:t>
                </m:r>
              </m:den>
            </m:f>
            <m:r>
              <w:rPr/>
              <m:t xml:space="preserve">(x-</m:t>
            </m:r>
            <m:r>
              <w:rPr/>
              <m:t>μ</m:t>
            </m:r>
            <m:sSup>
              <m:sSupPr>
                <m:ctrlPr>
                  <w:rPr/>
                </m:ctrlPr>
              </m:sSupPr>
              <m:e>
                <m:r>
                  <w:rPr/>
                  <m:t xml:space="preserve">)</m:t>
                </m:r>
              </m:e>
              <m:sup>
                <m:r>
                  <w:rPr/>
                  <m:t xml:space="preserve">T</m:t>
                </m:r>
              </m:sup>
            </m:sSup>
            <m:sSup>
              <m:sSupPr>
                <m:ctrlPr>
                  <w:rPr/>
                </m:ctrlPr>
              </m:sSupPr>
              <m:e>
                <m:r>
                  <w:rPr/>
                  <m:t>Σ</m:t>
                </m:r>
              </m:e>
              <m:sup>
                <m:r>
                  <w:rPr/>
                  <m:t xml:space="preserve">-1</m:t>
                </m:r>
              </m:sup>
            </m:sSup>
            <m:r>
              <w:rPr/>
              <m:t xml:space="preserve">(x-</m:t>
            </m:r>
            <m:r>
              <w:rPr/>
              <m:t>μ</m:t>
            </m:r>
            <m:r>
              <w:rPr/>
              <m:t xml:space="preserve">)</m:t>
            </m:r>
          </m:e>
        </m:d>
      </m:oMath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При р &gt; 1 LDA-классификатор предполагает, что наблюдения в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-м классе имеют многомерное гауссово распределение </w:t>
      </w:r>
      <m:oMath>
        <m:r>
          <w:rPr/>
          <m:t xml:space="preserve">N(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r>
          <w:rPr/>
          <m:t xml:space="preserve">,</m:t>
        </m:r>
        <m:r>
          <w:rPr/>
          <m:t>Σ</m:t>
        </m:r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, где </w:t>
      </w:r>
      <m:oMath>
        <m:sSub>
          <m:sSubPr>
            <m:ctrlPr>
              <w:rPr/>
            </m:ctrlPr>
          </m:sSubPr>
          <m:e>
            <m:r>
              <m:t>μ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— это специфичный для данного класса вектор математического ожидания, а </w:t>
      </w:r>
      <m:oMath>
        <m:r>
          <m:t>Σ</m:t>
        </m:r>
      </m:oMath>
      <w:r w:rsidDel="00000000" w:rsidR="00000000" w:rsidRPr="00000000">
        <w:rPr>
          <w:rtl w:val="0"/>
        </w:rPr>
        <w:t xml:space="preserve"> — общая для всех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 классов ковариационная матрица. Подстановка функции плотности вероятности для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-г</w:t>
      </w:r>
      <w:r w:rsidDel="00000000" w:rsidR="00000000" w:rsidRPr="00000000">
        <w:rPr>
          <w:rtl w:val="0"/>
        </w:rPr>
        <w:t xml:space="preserve">o класса </w:t>
      </w:r>
      <m:oMath>
        <m:sSub>
          <m:sSubPr>
            <m:ctrlPr>
              <w:rPr/>
            </m:ctrlPr>
          </m:sSubPr>
          <m:e>
            <m:r>
              <w:rPr/>
              <m:t xml:space="preserve">f</m:t>
            </m:r>
          </m:e>
          <m:sub>
            <m:r>
              <w:rPr/>
              <m:t xml:space="preserve">k</m:t>
            </m:r>
          </m:sub>
        </m:sSub>
        <m:r>
          <w:rPr/>
          <m:t xml:space="preserve">(X = x)</m:t>
        </m:r>
      </m:oMath>
      <w:r w:rsidDel="00000000" w:rsidR="00000000" w:rsidRPr="00000000">
        <w:rPr>
          <w:rtl w:val="0"/>
        </w:rPr>
        <w:t xml:space="preserve"> в </w:t>
      </w:r>
      <m:oMath>
        <m:sSub>
          <m:sSubPr>
            <m:ctrlPr>
              <w:rPr/>
            </m:ctrlPr>
          </m:sSubPr>
          <m:e>
            <m:r>
              <w:rPr/>
              <m:t xml:space="preserve">p</m:t>
            </m:r>
          </m:e>
          <m:sub>
            <m:r>
              <w:rPr/>
              <m:t xml:space="preserve">k</m:t>
            </m:r>
          </m:sub>
        </m:sSub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 и выполнение некоторых алгебраических преобразований показывает, что байесовский классификатор относит наблюдение </w:t>
      </w:r>
      <m:oMath>
        <m:r>
          <w:rPr/>
          <m:t xml:space="preserve">X = x</m:t>
        </m:r>
      </m:oMath>
      <w:r w:rsidDel="00000000" w:rsidR="00000000" w:rsidRPr="00000000">
        <w:rPr>
          <w:rtl w:val="0"/>
        </w:rPr>
        <w:t xml:space="preserve"> к классу, у которого величина</w:t>
      </w:r>
    </w:p>
    <w:p w:rsidR="00000000" w:rsidDel="00000000" w:rsidP="00000000" w:rsidRDefault="00000000" w:rsidRPr="00000000" w14:paraId="00000006">
      <w:pPr>
        <w:ind w:left="0" w:firstLine="0"/>
        <w:jc w:val="center"/>
        <w:rPr/>
      </w:pPr>
      <m:oMath>
        <m:sSub>
          <m:sSubPr>
            <m:ctrlPr>
              <w:rPr/>
            </m:ctrlPr>
          </m:sSubPr>
          <m:e>
            <m:r>
              <m:t>δ</m:t>
            </m:r>
          </m:e>
          <m:sub>
            <m:r>
              <w:rPr/>
              <m:t xml:space="preserve">k</m:t>
            </m:r>
          </m:sub>
        </m:sSub>
        <m:r>
          <w:rPr/>
          <m:t xml:space="preserve">(x)=</m:t>
        </m:r>
        <m:sSup>
          <m:sSupPr>
            <m:ctrlPr>
              <w:rPr/>
            </m:ctrlPr>
          </m:sSupPr>
          <m:e>
            <m:r>
              <w:rPr/>
              <m:t xml:space="preserve">x</m:t>
            </m:r>
          </m:e>
          <m:sup>
            <m:r>
              <w:rPr/>
              <m:t xml:space="preserve">T</m:t>
            </m:r>
          </m:sup>
        </m:sSup>
        <m:sSup>
          <m:sSupPr>
            <m:ctrlPr>
              <w:rPr/>
            </m:ctrlPr>
          </m:sSupPr>
          <m:e>
            <m:r>
              <w:rPr/>
              <m:t>Σ</m:t>
            </m:r>
          </m:e>
          <m:sup>
            <m:r>
              <w:rPr/>
              <m:t xml:space="preserve">-1</m:t>
            </m:r>
          </m:sup>
        </m:sSup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r>
          <w:rPr/>
          <m:t xml:space="preserve">-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sSubSup>
          <m:sSubSupPr>
            <m:ctrlPr>
              <w:rPr/>
            </m:ctrlPr>
          </m:sSubSupPr>
          <m:e>
            <m:r>
              <w:rPr/>
              <m:t>μ</m:t>
            </m:r>
          </m:e>
          <m:sub>
            <m:r>
              <w:rPr/>
              <m:t xml:space="preserve">k</m:t>
            </m:r>
          </m:sub>
          <m:sup>
            <m:r>
              <w:rPr/>
              <m:t xml:space="preserve">T</m:t>
            </m:r>
          </m:sup>
        </m:sSubSup>
        <m:sSup>
          <m:sSupPr>
            <m:ctrlPr>
              <w:rPr/>
            </m:ctrlPr>
          </m:sSupPr>
          <m:e>
            <m:r>
              <w:rPr/>
              <m:t>Σ</m:t>
            </m:r>
          </m:e>
          <m:sup>
            <m:r>
              <w:rPr/>
              <m:t xml:space="preserve">-1</m:t>
            </m:r>
          </m:sup>
        </m:sSup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r>
          <w:rPr/>
          <m:t xml:space="preserve">+</m:t>
        </m:r>
        <m:box>
          <m:boxPr>
            <m:opEmu m:val="1"/>
            <m:ctrlPr>
              <w:rPr/>
            </m:ctrlPr>
          </m:boxPr>
          <m:e>
            <m:r>
              <w:rPr/>
              <m:t>ln</m:t>
            </m:r>
          </m:e>
        </m:box>
        <m:sSub>
          <m:sSubPr>
            <m:ctrlPr>
              <w:rPr/>
            </m:ctrlPr>
          </m:sSubPr>
          <m:e>
            <m:r>
              <w:rPr/>
              <m:t>π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firstLine="0"/>
        <w:jc w:val="left"/>
        <w:rPr/>
      </w:pPr>
      <w:r w:rsidDel="00000000" w:rsidR="00000000" w:rsidRPr="00000000">
        <w:rPr>
          <w:rtl w:val="0"/>
        </w:rPr>
        <w:t xml:space="preserve">максимальна. Это — векторно-матричная форма записи </w:t>
      </w:r>
      <m:oMath>
        <m:sSub>
          <m:sSubPr>
            <m:ctrlPr>
              <w:rPr/>
            </m:ctrlPr>
          </m:sSubPr>
          <m:e>
            <m:r>
              <m:t>δ</m:t>
            </m:r>
          </m:e>
          <m:sub>
            <m:r>
              <w:rPr/>
              <m:t xml:space="preserve">k</m:t>
            </m:r>
          </m:sub>
        </m:sSub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 из прошлой лекции.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Необходимо оценить неизвестные параметры </w:t>
      </w:r>
      <m:oMath>
        <m:sSub>
          <m:sSubPr>
            <m:ctrlPr>
              <w:rPr/>
            </m:ctrlPr>
          </m:sSubPr>
          <m:e>
            <m:r>
              <m:t>μ</m:t>
            </m:r>
          </m:e>
          <m:sub>
            <m:r>
              <w:rPr/>
              <m:t xml:space="preserve">1</m:t>
            </m:r>
          </m:sub>
        </m:sSub>
        <m:r>
          <w:rPr/>
          <m:t xml:space="preserve">,</m:t>
        </m:r>
        <m:r>
          <w:rPr/>
          <m:t>⋯</m:t>
        </m:r>
        <m:r>
          <w:rPr/>
          <m:t xml:space="preserve">,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m:t>π</m:t>
            </m:r>
          </m:e>
          <m:sub>
            <m:r>
              <w:rPr/>
              <m:t xml:space="preserve">k</m:t>
            </m:r>
          </m:sub>
        </m:sSub>
        <m:r>
          <w:rPr/>
          <m:t xml:space="preserve">, </m:t>
        </m:r>
        <m:r>
          <w:rPr/>
          <m:t>⋯</m:t>
        </m:r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>π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и </w:t>
      </w:r>
      <m:oMath>
        <m:r>
          <m:t>Σ</m:t>
        </m:r>
      </m:oMath>
      <w:r w:rsidDel="00000000" w:rsidR="00000000" w:rsidRPr="00000000">
        <w:rPr>
          <w:rtl w:val="0"/>
        </w:rPr>
        <w:t xml:space="preserve">; формулы для них похожи на соответствующие формулы для одномерного случая. Для классификации нового наблюдения X = х LDA подставляет эти оценки и относит это наблюдение к классу с наиболее высоким значением </w:t>
      </w:r>
      <m:oMath>
        <m:acc>
          <m:accPr>
            <m:chr m:val="̂"/>
          </m:accPr>
          <m:e>
            <m:sSub>
              <m:sSubPr>
                <m:ctrlPr>
                  <w:rPr/>
                </m:ctrlPr>
              </m:sSubPr>
              <m:e>
                <m:r>
                  <m:t>δ</m:t>
                </m:r>
              </m:e>
              <m:sub>
                <m:r>
                  <w:rPr/>
                  <m:t xml:space="preserve">k</m:t>
                </m:r>
              </m:sub>
            </m:sSub>
          </m:e>
        </m:acc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. </w:t>
      </w:r>
      <m:oMath>
        <m:sSub>
          <m:sSubPr>
            <m:ctrlPr>
              <w:rPr/>
            </m:ctrlPr>
          </m:sSubPr>
          <m:e>
            <m:r>
              <m:t>δ</m:t>
            </m:r>
          </m:e>
          <m:sub>
            <m:r>
              <w:rPr/>
              <m:t xml:space="preserve">k</m:t>
            </m:r>
          </m:sub>
        </m:sSub>
        <m:r>
          <w:rPr/>
          <m:t xml:space="preserve">(x)</m:t>
        </m:r>
      </m:oMath>
      <w:r w:rsidDel="00000000" w:rsidR="00000000" w:rsidRPr="00000000">
        <w:rPr>
          <w:rtl w:val="0"/>
        </w:rPr>
        <w:t xml:space="preserve"> является линейной функцией от </w:t>
      </w:r>
      <w:r w:rsidDel="00000000" w:rsidR="00000000" w:rsidRPr="00000000">
        <w:rPr>
          <w:i w:val="1"/>
          <w:rtl w:val="0"/>
        </w:rPr>
        <w:t xml:space="preserve">х</w:t>
      </w:r>
      <w:r w:rsidDel="00000000" w:rsidR="00000000" w:rsidRPr="00000000">
        <w:rPr>
          <w:rtl w:val="0"/>
        </w:rPr>
        <w:t xml:space="preserve">, т.е. решающее правило LDA определяется только линейной комбинацией элементов х. Это также является причиной использования прилагательного “линейный” в названии LDA.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LDA предполагает, что наблюдения в каждом классе происходят из многомерного гауссова распределения со специфичными для каждого класса векторами математических ожиданий и общей для всех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 классов ковариационной матрицей. Квадратичный дискриминантный анализ (QDA) обеспечивает альтернативный подход. Подобно LDA, QDA-классификатор получают, делая предположение о том, что наблюдения в каждом классе имеют гауссово распределение, и подставляя оценки соответствующих параметров в уравнение теоремы Байеса для вычисления предсказаний. Однако, в отличие от LDA, QDA предполагает, что каждый класс имеет свою собственную ковариационную матрицу. Другими словами, этот метод предполагает, что наблюдение из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-го класса имеет форму </w:t>
      </w:r>
      <m:oMath>
        <m:r>
          <w:rPr/>
          <m:t xml:space="preserve">X ~ N(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r>
          <w:rPr/>
          <m:t xml:space="preserve">, </m:t>
        </m:r>
        <m:sSub>
          <m:sSubPr>
            <m:ctrlPr>
              <w:rPr/>
            </m:ctrlPr>
          </m:sSubPr>
          <m:e>
            <m:r>
              <w:rPr/>
              <m:t>Σ</m:t>
            </m:r>
          </m:e>
          <m:sub>
            <m:r>
              <w:rPr/>
              <m:t xml:space="preserve">k</m:t>
            </m:r>
          </m:sub>
        </m:sSub>
        <m:r>
          <w:rPr/>
          <m:t xml:space="preserve">)</m:t>
        </m:r>
      </m:oMath>
      <w:r w:rsidDel="00000000" w:rsidR="00000000" w:rsidRPr="00000000">
        <w:rPr>
          <w:rtl w:val="0"/>
        </w:rPr>
        <w:t xml:space="preserve">, где </w:t>
      </w:r>
      <m:oMath>
        <m:r>
          <w:rPr/>
          <m:t xml:space="preserve"> </m:t>
        </m:r>
        <m:sSub>
          <m:sSubPr>
            <m:ctrlPr>
              <w:rPr/>
            </m:ctrlPr>
          </m:sSubPr>
          <m:e>
            <m:r>
              <w:rPr/>
              <m:t>Σ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— это ковариационная матрица </w:t>
      </w:r>
      <w:r w:rsidDel="00000000" w:rsidR="00000000" w:rsidRPr="00000000">
        <w:rPr>
          <w:i w:val="1"/>
          <w:rtl w:val="0"/>
        </w:rPr>
        <w:t xml:space="preserve">k</w:t>
      </w:r>
      <w:r w:rsidDel="00000000" w:rsidR="00000000" w:rsidRPr="00000000">
        <w:rPr>
          <w:rtl w:val="0"/>
        </w:rPr>
        <w:t xml:space="preserve">-гo класса. Исходя из этого предположения, байесовский классификатор относит наблюдение </w:t>
      </w:r>
      <w:r w:rsidDel="00000000" w:rsidR="00000000" w:rsidRPr="00000000">
        <w:rPr>
          <w:i w:val="1"/>
          <w:rtl w:val="0"/>
        </w:rPr>
        <w:t xml:space="preserve">X</w:t>
      </w:r>
      <w:r w:rsidDel="00000000" w:rsidR="00000000" w:rsidRPr="00000000">
        <w:rPr>
          <w:rtl w:val="0"/>
        </w:rPr>
        <w:t xml:space="preserve"> = </w:t>
      </w:r>
      <w:r w:rsidDel="00000000" w:rsidR="00000000" w:rsidRPr="00000000">
        <w:rPr>
          <w:i w:val="1"/>
          <w:rtl w:val="0"/>
        </w:rPr>
        <w:t xml:space="preserve">х</w:t>
      </w:r>
      <w:r w:rsidDel="00000000" w:rsidR="00000000" w:rsidRPr="00000000">
        <w:rPr>
          <w:rtl w:val="0"/>
        </w:rPr>
        <w:t xml:space="preserve"> к классу, для которого величина</w:t>
      </w:r>
    </w:p>
    <w:p w:rsidR="00000000" w:rsidDel="00000000" w:rsidP="00000000" w:rsidRDefault="00000000" w:rsidRPr="00000000" w14:paraId="0000000A">
      <w:pPr>
        <w:ind w:left="0" w:firstLine="0"/>
        <w:jc w:val="center"/>
        <w:rPr/>
      </w:pPr>
      <m:oMath>
        <m:sSub>
          <m:sSubPr>
            <m:ctrlPr>
              <w:rPr/>
            </m:ctrlPr>
          </m:sSubPr>
          <m:e>
            <m:r>
              <m:t>δ</m:t>
            </m:r>
          </m:e>
          <m:sub>
            <m:r>
              <w:rPr/>
              <m:t xml:space="preserve">k</m:t>
            </m:r>
          </m:sub>
        </m:sSub>
        <m:r>
          <w:rPr/>
          <m:t xml:space="preserve">(x)= -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r>
          <w:rPr/>
          <m:t xml:space="preserve">(x-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sSup>
          <m:sSupPr>
            <m:ctrlPr>
              <w:rPr/>
            </m:ctrlPr>
          </m:sSupPr>
          <m:e>
            <m:r>
              <w:rPr/>
              <m:t xml:space="preserve">)</m:t>
            </m:r>
          </m:e>
          <m:sup>
            <m:r>
              <w:rPr/>
              <m:t xml:space="preserve">T</m:t>
            </m:r>
          </m:sup>
        </m:sSup>
        <m:sSubSup>
          <m:sSubSupPr>
            <m:ctrlPr>
              <w:rPr/>
            </m:ctrlPr>
          </m:sSubSupPr>
          <m:e>
            <m:r>
              <w:rPr/>
              <m:t>Σ</m:t>
            </m:r>
          </m:e>
          <m:sub>
            <m:r>
              <w:rPr/>
              <m:t xml:space="preserve">k</m:t>
            </m:r>
          </m:sub>
          <m:sup>
            <m:r>
              <w:rPr/>
              <m:t xml:space="preserve">-1</m:t>
            </m:r>
          </m:sup>
        </m:sSubSup>
        <m:r>
          <w:rPr/>
          <m:t xml:space="preserve">(x-</m:t>
        </m:r>
        <m:sSub>
          <m:sSubPr>
            <m:ctrlPr>
              <w:rPr/>
            </m:ctrlPr>
          </m:sSubPr>
          <m:e>
            <m:r>
              <w:rPr/>
              <m:t>μ</m:t>
            </m:r>
          </m:e>
          <m:sub>
            <m:r>
              <w:rPr/>
              <m:t xml:space="preserve">k</m:t>
            </m:r>
          </m:sub>
        </m:sSub>
        <m:r>
          <w:rPr/>
          <m:t xml:space="preserve">)-</m:t>
        </m:r>
        <m:f>
          <m:fPr>
            <m:ctrlPr>
              <w:rPr/>
            </m:ctrlPr>
          </m:fPr>
          <m:num>
            <m:r>
              <w:rPr/>
              <m:t xml:space="preserve">1</m:t>
            </m:r>
          </m:num>
          <m:den>
            <m:r>
              <w:rPr/>
              <m:t xml:space="preserve">2</m:t>
            </m:r>
          </m:den>
        </m:f>
        <m:box>
          <m:boxPr>
            <m:opEmu m:val="1"/>
            <m:ctrlPr>
              <w:rPr/>
            </m:ctrlPr>
          </m:boxPr>
          <m:e>
            <m:r>
              <w:rPr/>
              <m:t>ln</m:t>
            </m:r>
          </m:e>
        </m:box>
        <m:box>
          <m:boxPr>
            <m:opEmu m:val="1"/>
            <m:ctrlPr>
              <w:rPr/>
            </m:ctrlPr>
          </m:boxPr>
          <m:e>
            <m:r>
              <w:rPr/>
              <m:t>det</m:t>
            </m:r>
          </m:e>
        </m:box>
        <m:sSub>
          <m:sSubPr>
            <m:ctrlPr>
              <w:rPr/>
            </m:ctrlPr>
          </m:sSubPr>
          <m:e>
            <m:r>
              <w:rPr/>
              <m:t>Σ</m:t>
            </m:r>
          </m:e>
          <m:sub>
            <m:r>
              <w:rPr/>
              <m:t xml:space="preserve">k</m:t>
            </m:r>
          </m:sub>
        </m:sSub>
        <m:r>
          <w:rPr/>
          <m:t xml:space="preserve">+</m:t>
        </m:r>
        <m:box>
          <m:boxPr>
            <m:opEmu m:val="1"/>
            <m:ctrlPr>
              <w:rPr/>
            </m:ctrlPr>
          </m:boxPr>
          <m:e>
            <m:r>
              <w:rPr/>
              <m:t>ln</m:t>
            </m:r>
          </m:e>
        </m:box>
        <m:sSub>
          <m:sSubPr>
            <m:ctrlPr>
              <w:rPr/>
            </m:ctrlPr>
          </m:sSubPr>
          <m:e>
            <m:r>
              <w:rPr/>
              <m:t>π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максимальна. Таким образом, QDA-классификатор подразумевает  подстановку оценок </w:t>
      </w:r>
      <m:oMath>
        <m:sSub>
          <m:sSubPr>
            <m:ctrlPr>
              <w:rPr/>
            </m:ctrlPr>
          </m:sSubPr>
          <m:e>
            <m:r>
              <m:t>Σ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, </w:t>
      </w:r>
      <m:oMath>
        <m:sSub>
          <m:sSubPr>
            <m:ctrlPr>
              <w:rPr/>
            </m:ctrlPr>
          </m:sSubPr>
          <m:e>
            <m:r>
              <m:t>μ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и </w:t>
      </w:r>
      <m:oMath>
        <m:sSub>
          <m:sSubPr>
            <m:ctrlPr>
              <w:rPr/>
            </m:ctrlPr>
          </m:sSubPr>
          <m:e>
            <m:r>
              <m:t>π</m:t>
            </m:r>
          </m:e>
          <m:sub>
            <m:r>
              <w:rPr/>
              <m:t xml:space="preserve">k</m:t>
            </m:r>
          </m:sub>
        </m:sSub>
      </m:oMath>
      <w:r w:rsidDel="00000000" w:rsidR="00000000" w:rsidRPr="00000000">
        <w:rPr>
          <w:rtl w:val="0"/>
        </w:rPr>
        <w:t xml:space="preserve"> в формулу и последующее отнесение наблюдения X = х к классу, для которого полученная величина является наибольшей. В данном случае член </w:t>
      </w:r>
      <w:r w:rsidDel="00000000" w:rsidR="00000000" w:rsidRPr="00000000">
        <w:rPr>
          <w:i w:val="1"/>
          <w:rtl w:val="0"/>
        </w:rPr>
        <w:t xml:space="preserve">х</w:t>
      </w:r>
      <w:r w:rsidDel="00000000" w:rsidR="00000000" w:rsidRPr="00000000">
        <w:rPr>
          <w:rtl w:val="0"/>
        </w:rPr>
        <w:t xml:space="preserve"> представлен в виде квадратичной функции. Отсюда и происходит название QDA.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pgSz w:h="16838" w:w="11906" w:orient="portrait"/>
      <w:pgMar w:bottom="1134" w:top="1253" w:left="851" w:right="851" w:header="709" w:footer="92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5336e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5336e"/>
        <w:sz w:val="28"/>
        <w:szCs w:val="28"/>
        <w:u w:val="none"/>
        <w:shd w:fill="auto" w:val="clear"/>
        <w:vertAlign w:val="baseline"/>
        <w:rtl w:val="0"/>
      </w:rPr>
      <w:t xml:space="preserve">СПбГЭТУ «ЛЭТИ», 2021 г.</w:t>
    </w:r>
  </w:p>
  <w:p w:rsidR="00000000" w:rsidDel="00000000" w:rsidP="00000000" w:rsidRDefault="00000000" w:rsidRPr="00000000" w14:paraId="00000015">
    <w:pPr>
      <w:ind w:firstLine="0"/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179070</wp:posOffset>
          </wp:positionV>
          <wp:extent cx="7560310" cy="746760"/>
          <wp:effectExtent b="0" l="0" r="0" t="0"/>
          <wp:wrapNone/>
          <wp:docPr id="16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74676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5336e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5336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-556259</wp:posOffset>
          </wp:positionH>
          <wp:positionV relativeFrom="paragraph">
            <wp:posOffset>56514</wp:posOffset>
          </wp:positionV>
          <wp:extent cx="7560310" cy="747395"/>
          <wp:effectExtent b="0" l="0" r="0" t="0"/>
          <wp:wrapNone/>
          <wp:docPr id="1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74739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709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-634364</wp:posOffset>
          </wp:positionH>
          <wp:positionV relativeFrom="paragraph">
            <wp:posOffset>-450214</wp:posOffset>
          </wp:positionV>
          <wp:extent cx="7560310" cy="3688080"/>
          <wp:effectExtent b="0" l="0" r="0" t="0"/>
          <wp:wrapNone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3688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  <w:tab w:val="left" w:pos="3589"/>
      </w:tabs>
      <w:spacing w:after="0" w:before="0" w:line="240" w:lineRule="auto"/>
      <w:ind w:left="0" w:right="0" w:firstLine="709"/>
      <w:jc w:val="both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-563879</wp:posOffset>
          </wp:positionH>
          <wp:positionV relativeFrom="paragraph">
            <wp:posOffset>-481964</wp:posOffset>
          </wp:positionV>
          <wp:extent cx="7560310" cy="739140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310" cy="73914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rebuchet MS" w:cs="Trebuchet MS" w:eastAsia="Trebuchet MS" w:hAnsi="Trebuchet MS"/>
        <w:sz w:val="28"/>
        <w:szCs w:val="28"/>
        <w:lang w:val="ru-RU"/>
      </w:rPr>
    </w:rPrDefault>
    <w:pPrDefault>
      <w:pPr>
        <w:spacing w:line="312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240" w:lineRule="auto"/>
      <w:ind w:left="432" w:hanging="432"/>
      <w:jc w:val="center"/>
    </w:pPr>
    <w:rPr>
      <w:b w:val="1"/>
      <w:smallCaps w:val="1"/>
      <w:color w:val="05336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120" w:lineRule="auto"/>
      <w:ind w:left="0" w:firstLine="709"/>
    </w:pPr>
    <w:rPr>
      <w:b w:val="1"/>
      <w:color w:val="05336e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200" w:lineRule="auto"/>
      <w:ind w:left="720" w:hanging="720"/>
    </w:pPr>
    <w:rPr>
      <w:b w:val="1"/>
      <w:color w:val="05336e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  <w:ind w:left="864" w:hanging="864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  <w:ind w:left="1008" w:hanging="1008"/>
    </w:pPr>
    <w:rPr>
      <w:rFonts w:ascii="Cambria" w:cs="Cambria" w:eastAsia="Cambria" w:hAnsi="Cambria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  <w:ind w:left="1152" w:hanging="1152"/>
    </w:pPr>
    <w:rPr>
      <w:rFonts w:ascii="Cambria" w:cs="Cambria" w:eastAsia="Cambria" w:hAnsi="Cambria"/>
      <w:i w:val="1"/>
      <w:color w:val="243f6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ind w:firstLine="0"/>
      <w:jc w:val="center"/>
    </w:pPr>
    <w:rPr>
      <w:b w:val="1"/>
      <w:smallCaps w:val="1"/>
      <w:color w:val="05336e"/>
    </w:rPr>
  </w:style>
  <w:style w:type="paragraph" w:styleId="Normal" w:default="1">
    <w:name w:val="Normal"/>
    <w:qFormat w:val="1"/>
    <w:rsid w:val="00D649A8"/>
    <w:pPr>
      <w:widowControl w:val="1"/>
      <w:bidi w:val="0"/>
      <w:spacing w:after="0" w:before="0" w:line="312" w:lineRule="auto"/>
      <w:ind w:firstLine="709"/>
      <w:jc w:val="both"/>
    </w:pPr>
    <w:rPr>
      <w:rFonts w:ascii="Trebuchet MS" w:cs="" w:eastAsia="" w:hAnsi="Trebuchet MS"/>
      <w:color w:val="000000" w:themeColor="text1"/>
      <w:kern w:val="0"/>
      <w:sz w:val="28"/>
      <w:szCs w:val="22"/>
      <w:lang w:bidi="ar-SA" w:eastAsia="ru-RU" w:val="ru-RU"/>
    </w:rPr>
  </w:style>
  <w:style w:type="paragraph" w:styleId="1">
    <w:name w:val="Heading 1"/>
    <w:basedOn w:val="Normal"/>
    <w:next w:val="Normal"/>
    <w:link w:val="10"/>
    <w:uiPriority w:val="9"/>
    <w:qFormat w:val="1"/>
    <w:rsid w:val="00AE522B"/>
    <w:pPr>
      <w:keepNext w:val="1"/>
      <w:keepLines w:val="1"/>
      <w:numPr>
        <w:ilvl w:val="0"/>
        <w:numId w:val="1"/>
      </w:numPr>
      <w:suppressAutoHyphens w:val="1"/>
      <w:spacing w:after="120" w:before="240"/>
      <w:jc w:val="center"/>
      <w:outlineLvl w:val="0"/>
    </w:pPr>
    <w:rPr>
      <w:rFonts w:cs="" w:eastAsia="" w:cstheme="majorBidi" w:eastAsiaTheme="majorEastAsia"/>
      <w:b w:val="1"/>
      <w:bCs w:val="1"/>
      <w:caps w:val="1"/>
      <w:color w:val="05336e"/>
      <w:szCs w:val="28"/>
    </w:rPr>
  </w:style>
  <w:style w:type="paragraph" w:styleId="2">
    <w:name w:val="Heading 2"/>
    <w:basedOn w:val="Normal"/>
    <w:next w:val="Normal"/>
    <w:link w:val="20"/>
    <w:uiPriority w:val="9"/>
    <w:unhideWhenUsed w:val="1"/>
    <w:qFormat w:val="1"/>
    <w:rsid w:val="00121989"/>
    <w:pPr>
      <w:keepNext w:val="1"/>
      <w:keepLines w:val="1"/>
      <w:numPr>
        <w:ilvl w:val="1"/>
        <w:numId w:val="1"/>
      </w:numPr>
      <w:suppressAutoHyphens w:val="1"/>
      <w:spacing w:after="0" w:before="120"/>
      <w:ind w:left="0" w:firstLine="709"/>
      <w:outlineLvl w:val="1"/>
    </w:pPr>
    <w:rPr>
      <w:rFonts w:cs="" w:eastAsia="" w:cstheme="majorBidi" w:eastAsiaTheme="majorEastAsia"/>
      <w:b w:val="1"/>
      <w:bCs w:val="1"/>
      <w:color w:val="05336e"/>
      <w:szCs w:val="26"/>
    </w:rPr>
  </w:style>
  <w:style w:type="paragraph" w:styleId="3">
    <w:name w:val="Heading 3"/>
    <w:basedOn w:val="Normal"/>
    <w:next w:val="Normal"/>
    <w:link w:val="30"/>
    <w:uiPriority w:val="9"/>
    <w:unhideWhenUsed w:val="1"/>
    <w:qFormat w:val="1"/>
    <w:rsid w:val="00100267"/>
    <w:pPr>
      <w:keepNext w:val="1"/>
      <w:keepLines w:val="1"/>
      <w:numPr>
        <w:ilvl w:val="2"/>
        <w:numId w:val="1"/>
      </w:numPr>
      <w:spacing w:after="120" w:before="200"/>
      <w:outlineLvl w:val="2"/>
    </w:pPr>
    <w:rPr>
      <w:rFonts w:cs="" w:eastAsia="" w:cstheme="majorBidi" w:eastAsiaTheme="majorEastAsia"/>
      <w:b w:val="1"/>
      <w:bCs w:val="1"/>
      <w:color w:val="05336e"/>
    </w:rPr>
  </w:style>
  <w:style w:type="paragraph" w:styleId="4">
    <w:name w:val="Heading 4"/>
    <w:basedOn w:val="Normal"/>
    <w:next w:val="Normal"/>
    <w:link w:val="40"/>
    <w:uiPriority w:val="9"/>
    <w:unhideWhenUsed w:val="1"/>
    <w:qFormat w:val="1"/>
    <w:rsid w:val="00DD04E3"/>
    <w:pPr>
      <w:keepNext w:val="1"/>
      <w:keepLines w:val="1"/>
      <w:numPr>
        <w:ilvl w:val="3"/>
        <w:numId w:val="1"/>
      </w:numPr>
      <w:spacing w:after="0" w:before="200"/>
      <w:outlineLvl w:val="3"/>
    </w:pPr>
    <w:rPr>
      <w:rFonts w:ascii="Cambria" w:cs="" w:eastAsia="" w:hAnsi="Cambria"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 w:val="1"/>
    <w:unhideWhenUsed w:val="1"/>
    <w:qFormat w:val="1"/>
    <w:rsid w:val="00DD04E3"/>
    <w:pPr>
      <w:keepNext w:val="1"/>
      <w:keepLines w:val="1"/>
      <w:numPr>
        <w:ilvl w:val="4"/>
        <w:numId w:val="1"/>
      </w:numPr>
      <w:spacing w:after="0" w:before="200"/>
      <w:outlineLvl w:val="4"/>
    </w:pPr>
    <w:rPr>
      <w:rFonts w:ascii="Cambria" w:cs="" w:eastAsia="" w:hAnsi="Cambria" w:asciiTheme="majorHAnsi" w:cstheme="majorBidi" w:eastAsiaTheme="majorEastAsia" w:hAnsiTheme="majorHAnsi"/>
      <w:color w:val="243f60" w:themeColor="accent1" w:themeShade="00007F"/>
    </w:rPr>
  </w:style>
  <w:style w:type="paragraph" w:styleId="6">
    <w:name w:val="Heading 6"/>
    <w:basedOn w:val="Normal"/>
    <w:next w:val="Normal"/>
    <w:link w:val="60"/>
    <w:uiPriority w:val="9"/>
    <w:semiHidden w:val="1"/>
    <w:unhideWhenUsed w:val="1"/>
    <w:qFormat w:val="1"/>
    <w:rsid w:val="00DD04E3"/>
    <w:pPr>
      <w:keepNext w:val="1"/>
      <w:keepLines w:val="1"/>
      <w:numPr>
        <w:ilvl w:val="5"/>
        <w:numId w:val="1"/>
      </w:numPr>
      <w:spacing w:after="0" w:before="200"/>
      <w:outlineLvl w:val="5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7">
    <w:name w:val="Heading 7"/>
    <w:basedOn w:val="Normal"/>
    <w:next w:val="Normal"/>
    <w:link w:val="70"/>
    <w:uiPriority w:val="9"/>
    <w:semiHidden w:val="1"/>
    <w:unhideWhenUsed w:val="1"/>
    <w:qFormat w:val="1"/>
    <w:rsid w:val="00DD04E3"/>
    <w:pPr>
      <w:keepNext w:val="1"/>
      <w:keepLines w:val="1"/>
      <w:numPr>
        <w:ilvl w:val="6"/>
        <w:numId w:val="1"/>
      </w:numPr>
      <w:spacing w:after="0" w:before="200"/>
      <w:outlineLvl w:val="6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8">
    <w:name w:val="Heading 8"/>
    <w:basedOn w:val="Normal"/>
    <w:next w:val="Normal"/>
    <w:link w:val="80"/>
    <w:uiPriority w:val="9"/>
    <w:semiHidden w:val="1"/>
    <w:unhideWhenUsed w:val="1"/>
    <w:qFormat w:val="1"/>
    <w:rsid w:val="00DD04E3"/>
    <w:pPr>
      <w:keepNext w:val="1"/>
      <w:keepLines w:val="1"/>
      <w:numPr>
        <w:ilvl w:val="7"/>
        <w:numId w:val="1"/>
      </w:numPr>
      <w:spacing w:after="0" w:before="200"/>
      <w:outlineLvl w:val="7"/>
    </w:pPr>
    <w:rPr>
      <w:rFonts w:ascii="Cambria" w:cs="" w:eastAsia="" w:hAnsi="Cambria"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 w:val="1"/>
    <w:unhideWhenUsed w:val="1"/>
    <w:qFormat w:val="1"/>
    <w:rsid w:val="00DD04E3"/>
    <w:pPr>
      <w:keepNext w:val="1"/>
      <w:keepLines w:val="1"/>
      <w:numPr>
        <w:ilvl w:val="8"/>
        <w:numId w:val="1"/>
      </w:numPr>
      <w:spacing w:after="0" w:before="200"/>
      <w:outlineLvl w:val="8"/>
    </w:pPr>
    <w:rPr>
      <w:rFonts w:ascii="Cambria" w:cs="" w:eastAsia="" w:hAnsi="Cambria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11" w:customStyle="1">
    <w:name w:val="Заголовок 1 Знак"/>
    <w:basedOn w:val="DefaultParagraphFont"/>
    <w:link w:val="1"/>
    <w:uiPriority w:val="9"/>
    <w:qFormat w:val="1"/>
    <w:rsid w:val="00AE522B"/>
    <w:rPr>
      <w:rFonts w:ascii="Trebuchet MS" w:cs="" w:eastAsia="" w:hAnsi="Trebuchet MS" w:cstheme="majorBidi" w:eastAsiaTheme="majorEastAsia"/>
      <w:b w:val="1"/>
      <w:bCs w:val="1"/>
      <w:caps w:val="1"/>
      <w:color w:val="05336e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 w:val="1"/>
    <w:rsid w:val="00121989"/>
    <w:rPr>
      <w:rFonts w:ascii="Trebuchet MS" w:cs="" w:eastAsia="" w:hAnsi="Trebuchet MS" w:cstheme="majorBidi" w:eastAsiaTheme="majorEastAsia"/>
      <w:b w:val="1"/>
      <w:bCs w:val="1"/>
      <w:color w:val="05336e"/>
      <w:sz w:val="28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 w:val="1"/>
    <w:rsid w:val="00100267"/>
    <w:rPr>
      <w:rFonts w:ascii="Trebuchet MS" w:cs="" w:eastAsia="" w:hAnsi="Trebuchet MS" w:cstheme="majorBidi" w:eastAsiaTheme="majorEastAsia"/>
      <w:b w:val="1"/>
      <w:bCs w:val="1"/>
      <w:color w:val="05336e"/>
      <w:sz w:val="28"/>
    </w:rPr>
  </w:style>
  <w:style w:type="character" w:styleId="41" w:customStyle="1">
    <w:name w:val="Заголовок 4 Знак"/>
    <w:basedOn w:val="DefaultParagraphFont"/>
    <w:link w:val="4"/>
    <w:uiPriority w:val="9"/>
    <w:qFormat w:val="1"/>
    <w:rsid w:val="00DD04E3"/>
    <w:rPr>
      <w:rFonts w:ascii="Cambria" w:cs="" w:eastAsia="" w:hAnsi="Cambria"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8"/>
    </w:rPr>
  </w:style>
  <w:style w:type="character" w:styleId="51" w:customStyle="1">
    <w:name w:val="Заголовок 5 Знак"/>
    <w:basedOn w:val="DefaultParagraphFont"/>
    <w:link w:val="5"/>
    <w:uiPriority w:val="9"/>
    <w:semiHidden w:val="1"/>
    <w:qFormat w:val="1"/>
    <w:rsid w:val="00DD04E3"/>
    <w:rPr>
      <w:rFonts w:ascii="Cambria" w:cs="" w:eastAsia="" w:hAnsi="Cambria" w:asciiTheme="majorHAnsi" w:cstheme="majorBidi" w:eastAsiaTheme="majorEastAsia" w:hAnsiTheme="majorHAnsi"/>
      <w:color w:val="243f60" w:themeColor="accent1" w:themeShade="00007F"/>
      <w:sz w:val="28"/>
    </w:rPr>
  </w:style>
  <w:style w:type="character" w:styleId="61" w:customStyle="1">
    <w:name w:val="Заголовок 6 Знак"/>
    <w:basedOn w:val="DefaultParagraphFont"/>
    <w:link w:val="6"/>
    <w:uiPriority w:val="9"/>
    <w:semiHidden w:val="1"/>
    <w:qFormat w:val="1"/>
    <w:rsid w:val="00DD04E3"/>
    <w:rPr>
      <w:rFonts w:ascii="Cambria" w:cs="" w:eastAsia="" w:hAnsi="Cambria" w:asciiTheme="majorHAnsi" w:cstheme="majorBidi" w:eastAsiaTheme="majorEastAsia" w:hAnsiTheme="majorHAnsi"/>
      <w:i w:val="1"/>
      <w:iCs w:val="1"/>
      <w:color w:val="243f60" w:themeColor="accent1" w:themeShade="00007F"/>
      <w:sz w:val="28"/>
    </w:rPr>
  </w:style>
  <w:style w:type="character" w:styleId="71" w:customStyle="1">
    <w:name w:val="Заголовок 7 Знак"/>
    <w:basedOn w:val="DefaultParagraphFont"/>
    <w:link w:val="7"/>
    <w:uiPriority w:val="9"/>
    <w:semiHidden w:val="1"/>
    <w:qFormat w:val="1"/>
    <w:rsid w:val="00DD04E3"/>
    <w:rPr>
      <w:rFonts w:ascii="Cambria" w:cs="" w:eastAsia="" w:hAnsi="Cambria" w:asciiTheme="majorHAnsi" w:cstheme="majorBidi" w:eastAsiaTheme="majorEastAsia" w:hAnsiTheme="majorHAnsi"/>
      <w:i w:val="1"/>
      <w:iCs w:val="1"/>
      <w:color w:val="404040" w:themeColor="text1" w:themeTint="0000BF"/>
      <w:sz w:val="28"/>
    </w:rPr>
  </w:style>
  <w:style w:type="character" w:styleId="81" w:customStyle="1">
    <w:name w:val="Заголовок 8 Знак"/>
    <w:basedOn w:val="DefaultParagraphFont"/>
    <w:link w:val="8"/>
    <w:uiPriority w:val="9"/>
    <w:semiHidden w:val="1"/>
    <w:qFormat w:val="1"/>
    <w:rsid w:val="00DD04E3"/>
    <w:rPr>
      <w:rFonts w:ascii="Cambria" w:cs="" w:eastAsia="" w:hAnsi="Cambria" w:asciiTheme="majorHAnsi" w:cstheme="majorBidi" w:eastAsiaTheme="majorEastAsia" w:hAnsiTheme="majorHAnsi"/>
      <w:color w:val="404040" w:themeColor="text1" w:themeTint="0000BF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 w:val="1"/>
    <w:qFormat w:val="1"/>
    <w:rsid w:val="00DD04E3"/>
    <w:rPr>
      <w:rFonts w:ascii="Cambria" w:cs="" w:eastAsia="" w:hAnsi="Cambria"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Style5" w:customStyle="1">
    <w:name w:val="Название Знак"/>
    <w:basedOn w:val="DefaultParagraphFont"/>
    <w:link w:val="a5"/>
    <w:uiPriority w:val="10"/>
    <w:qFormat w:val="1"/>
    <w:rsid w:val="004654BC"/>
    <w:rPr>
      <w:rFonts w:ascii="Trebuchet MS" w:cs="" w:eastAsia="" w:hAnsi="Trebuchet MS" w:cstheme="majorBidi" w:eastAsiaTheme="majorEastAsia"/>
      <w:b w:val="1"/>
      <w:caps w:val="1"/>
      <w:color w:val="05336e"/>
      <w:spacing w:val="5"/>
      <w:kern w:val="2"/>
      <w:sz w:val="28"/>
      <w:szCs w:val="52"/>
    </w:rPr>
  </w:style>
  <w:style w:type="character" w:styleId="Style6" w:customStyle="1">
    <w:name w:val="Верхний колонтитул Знак"/>
    <w:basedOn w:val="DefaultParagraphFont"/>
    <w:link w:val="a7"/>
    <w:uiPriority w:val="99"/>
    <w:qFormat w:val="1"/>
    <w:rsid w:val="00657AD0"/>
    <w:rPr>
      <w:rFonts w:ascii="Trebuchet MS" w:hAnsi="Trebuchet MS"/>
      <w:color w:val="000000" w:themeColor="text1"/>
      <w:sz w:val="28"/>
    </w:rPr>
  </w:style>
  <w:style w:type="character" w:styleId="Style7" w:customStyle="1">
    <w:name w:val="Нижний колонтитул Знак"/>
    <w:basedOn w:val="DefaultParagraphFont"/>
    <w:link w:val="a9"/>
    <w:uiPriority w:val="99"/>
    <w:qFormat w:val="1"/>
    <w:rsid w:val="00657AD0"/>
    <w:rPr>
      <w:rFonts w:ascii="Trebuchet MS" w:hAnsi="Trebuchet MS"/>
      <w:color w:val="000000" w:themeColor="text1"/>
      <w:sz w:val="28"/>
    </w:rPr>
  </w:style>
  <w:style w:type="character" w:styleId="Style8" w:customStyle="1">
    <w:name w:val="Текст выноски Знак"/>
    <w:basedOn w:val="DefaultParagraphFont"/>
    <w:link w:val="ab"/>
    <w:uiPriority w:val="99"/>
    <w:semiHidden w:val="1"/>
    <w:qFormat w:val="1"/>
    <w:rsid w:val="00DA3AED"/>
    <w:rPr>
      <w:rFonts w:ascii="Tahoma" w:cs="Tahoma" w:hAnsi="Tahoma"/>
      <w:color w:val="000000" w:themeColor="text1"/>
      <w:sz w:val="16"/>
      <w:szCs w:val="16"/>
    </w:rPr>
  </w:style>
  <w:style w:type="character" w:styleId="Style9" w:customStyle="1">
    <w:name w:val="Титул_тема Знак"/>
    <w:basedOn w:val="Style5"/>
    <w:link w:val="ad"/>
    <w:qFormat w:val="1"/>
    <w:rsid w:val="005B19DD"/>
    <w:rPr>
      <w:rFonts w:ascii="Trebuchet MS" w:cs="" w:eastAsia="" w:hAnsi="Trebuchet MS" w:cstheme="majorBidi" w:eastAsiaTheme="majorEastAsia"/>
      <w:b w:val="1"/>
      <w:caps w:val="0"/>
      <w:smallCaps w:val="0"/>
      <w:color w:val="05336e"/>
      <w:spacing w:val="5"/>
      <w:kern w:val="2"/>
      <w:sz w:val="56"/>
      <w:szCs w:val="72"/>
    </w:rPr>
  </w:style>
  <w:style w:type="character" w:styleId="Style10" w:customStyle="1">
    <w:name w:val="Подзаголовок Знак"/>
    <w:basedOn w:val="DefaultParagraphFont"/>
    <w:link w:val="af"/>
    <w:uiPriority w:val="11"/>
    <w:qFormat w:val="1"/>
    <w:rsid w:val="00FE0E4C"/>
    <w:rPr>
      <w:rFonts w:ascii="Trebuchet MS" w:cs="" w:eastAsia="" w:hAnsi="Trebuchet MS" w:cstheme="majorBidi" w:eastAsiaTheme="majorEastAsia"/>
      <w:iCs w:val="1"/>
      <w:color w:val="05336e"/>
      <w:spacing w:val="15"/>
      <w:sz w:val="40"/>
      <w:szCs w:val="40"/>
    </w:rPr>
  </w:style>
  <w:style w:type="character" w:styleId="Style11" w:customStyle="1">
    <w:name w:val="абзац Знак"/>
    <w:basedOn w:val="DefaultParagraphFont"/>
    <w:link w:val="af3"/>
    <w:qFormat w:val="1"/>
    <w:rsid w:val="001816E6"/>
    <w:rPr>
      <w:rFonts w:ascii="Arial" w:cs="Arial" w:hAnsi="Arial"/>
      <w:sz w:val="26"/>
      <w:szCs w:val="26"/>
      <w:lang w:eastAsia="en-US"/>
    </w:rPr>
  </w:style>
  <w:style w:type="paragraph" w:styleId="Style12">
    <w:name w:val="Заголовок"/>
    <w:basedOn w:val="Normal"/>
    <w:next w:val="Style13"/>
    <w:qFormat w:val="1"/>
    <w:pPr>
      <w:keepNext w:val="1"/>
      <w:spacing w:after="120" w:before="240"/>
    </w:pPr>
    <w:rPr>
      <w:rFonts w:ascii="Times New Roman" w:cs="Lohit Devanagari" w:eastAsia="Noto Sans CJK SC" w:hAnsi="Times New Roman"/>
      <w:sz w:val="28"/>
      <w:szCs w:val="28"/>
    </w:rPr>
  </w:style>
  <w:style w:type="paragraph" w:styleId="Style13">
    <w:name w:val="Body Text"/>
    <w:basedOn w:val="Normal"/>
    <w:pPr>
      <w:spacing w:after="140" w:before="0" w:line="276" w:lineRule="auto"/>
    </w:pPr>
    <w:rPr/>
  </w:style>
  <w:style w:type="paragraph" w:styleId="Style14">
    <w:name w:val="List"/>
    <w:basedOn w:val="Style13"/>
    <w:pPr/>
    <w:rPr>
      <w:rFonts w:ascii="Times New Roman" w:cs="Lohit Devanagari" w:hAnsi="Times New Roman"/>
    </w:rPr>
  </w:style>
  <w:style w:type="paragraph" w:styleId="Style15">
    <w:name w:val="Caption"/>
    <w:basedOn w:val="Normal"/>
    <w:qFormat w:val="1"/>
    <w:pPr>
      <w:suppressLineNumbers w:val="1"/>
      <w:spacing w:after="120" w:before="120"/>
    </w:pPr>
    <w:rPr>
      <w:rFonts w:ascii="Times New Roman" w:cs="Lohit Devanagari" w:hAnsi="Times New Roman"/>
      <w:i w:val="1"/>
      <w:iCs w:val="1"/>
      <w:sz w:val="24"/>
      <w:szCs w:val="24"/>
    </w:rPr>
  </w:style>
  <w:style w:type="paragraph" w:styleId="Style16">
    <w:name w:val="Указатель"/>
    <w:basedOn w:val="Normal"/>
    <w:qFormat w:val="1"/>
    <w:pPr>
      <w:suppressLineNumbers w:val="1"/>
    </w:pPr>
    <w:rPr>
      <w:rFonts w:ascii="Times New Roman" w:cs="Lohit Devanagari" w:hAnsi="Times New Roman"/>
    </w:rPr>
  </w:style>
  <w:style w:type="paragraph" w:styleId="NoSpacing">
    <w:name w:val="No Spacing"/>
    <w:uiPriority w:val="1"/>
    <w:qFormat w:val="1"/>
    <w:rsid w:val="00D649A8"/>
    <w:pPr>
      <w:widowControl w:val="1"/>
      <w:bidi w:val="0"/>
      <w:spacing w:after="0" w:before="0" w:line="240" w:lineRule="auto"/>
      <w:ind w:firstLine="709"/>
      <w:jc w:val="both"/>
    </w:pPr>
    <w:rPr>
      <w:rFonts w:ascii="Trebuchet MS" w:cs="" w:eastAsia="" w:hAnsi="Trebuchet MS"/>
      <w:color w:val="000000" w:themeColor="text1"/>
      <w:kern w:val="0"/>
      <w:sz w:val="28"/>
      <w:szCs w:val="22"/>
      <w:lang w:bidi="ar-SA" w:eastAsia="ru-RU" w:val="ru-RU"/>
    </w:rPr>
  </w:style>
  <w:style w:type="paragraph" w:styleId="ListParagraph">
    <w:name w:val="List Paragraph"/>
    <w:basedOn w:val="Normal"/>
    <w:uiPriority w:val="34"/>
    <w:qFormat w:val="1"/>
    <w:rsid w:val="0098480C"/>
    <w:pPr>
      <w:spacing w:after="0" w:before="0"/>
      <w:ind w:left="720" w:firstLine="709"/>
      <w:contextualSpacing w:val="1"/>
    </w:pPr>
    <w:rPr/>
  </w:style>
  <w:style w:type="paragraph" w:styleId="Style17">
    <w:name w:val="Title"/>
    <w:basedOn w:val="Normal"/>
    <w:next w:val="Normal"/>
    <w:link w:val="a6"/>
    <w:uiPriority w:val="10"/>
    <w:qFormat w:val="1"/>
    <w:rsid w:val="004654BC"/>
    <w:pPr>
      <w:keepNext w:val="1"/>
      <w:suppressAutoHyphens w:val="1"/>
      <w:spacing w:after="120" w:before="240"/>
      <w:ind w:hanging="0"/>
      <w:contextualSpacing w:val="1"/>
      <w:jc w:val="center"/>
    </w:pPr>
    <w:rPr>
      <w:rFonts w:cs="" w:eastAsia="" w:cstheme="majorBidi" w:eastAsiaTheme="majorEastAsia"/>
      <w:b w:val="1"/>
      <w:caps w:val="1"/>
      <w:color w:val="05336e"/>
      <w:spacing w:val="5"/>
      <w:kern w:val="2"/>
      <w:szCs w:val="52"/>
    </w:rPr>
  </w:style>
  <w:style w:type="paragraph" w:styleId="Style18">
    <w:name w:val="Верхний и нижний колонтитулы"/>
    <w:basedOn w:val="Normal"/>
    <w:qFormat w:val="1"/>
    <w:pPr/>
    <w:rPr/>
  </w:style>
  <w:style w:type="paragraph" w:styleId="Style19">
    <w:name w:val="Header"/>
    <w:basedOn w:val="Normal"/>
    <w:link w:val="a8"/>
    <w:uiPriority w:val="99"/>
    <w:unhideWhenUsed w:val="1"/>
    <w:rsid w:val="00657AD0"/>
    <w:pPr>
      <w:tabs>
        <w:tab w:val="clear" w:pos="708"/>
        <w:tab w:val="center" w:leader="none" w:pos="4677"/>
        <w:tab w:val="right" w:leader="none" w:pos="9355"/>
      </w:tabs>
      <w:spacing w:line="240" w:lineRule="auto"/>
    </w:pPr>
    <w:rPr/>
  </w:style>
  <w:style w:type="paragraph" w:styleId="Style20">
    <w:name w:val="Footer"/>
    <w:basedOn w:val="Normal"/>
    <w:link w:val="aa"/>
    <w:uiPriority w:val="99"/>
    <w:unhideWhenUsed w:val="1"/>
    <w:rsid w:val="00657AD0"/>
    <w:pPr>
      <w:tabs>
        <w:tab w:val="clear" w:pos="708"/>
        <w:tab w:val="center" w:leader="none" w:pos="4677"/>
        <w:tab w:val="right" w:leader="none" w:pos="9355"/>
      </w:tabs>
      <w:spacing w:line="240" w:lineRule="auto"/>
    </w:pPr>
    <w:rPr/>
  </w:style>
  <w:style w:type="paragraph" w:styleId="BalloonText">
    <w:name w:val="Balloon Text"/>
    <w:basedOn w:val="Normal"/>
    <w:link w:val="ac"/>
    <w:uiPriority w:val="99"/>
    <w:semiHidden w:val="1"/>
    <w:unhideWhenUsed w:val="1"/>
    <w:qFormat w:val="1"/>
    <w:rsid w:val="00DA3AED"/>
    <w:pPr>
      <w:spacing w:line="240" w:lineRule="auto"/>
    </w:pPr>
    <w:rPr>
      <w:rFonts w:ascii="Tahoma" w:cs="Tahoma" w:hAnsi="Tahoma"/>
      <w:sz w:val="16"/>
      <w:szCs w:val="16"/>
    </w:rPr>
  </w:style>
  <w:style w:type="paragraph" w:styleId="Style21" w:customStyle="1">
    <w:name w:val="Титул_тема"/>
    <w:basedOn w:val="Style17"/>
    <w:link w:val="ae"/>
    <w:qFormat w:val="1"/>
    <w:rsid w:val="005B19DD"/>
    <w:pPr/>
    <w:rPr>
      <w:caps w:val="0"/>
      <w:smallCaps w:val="0"/>
      <w:sz w:val="56"/>
      <w:szCs w:val="72"/>
    </w:rPr>
  </w:style>
  <w:style w:type="paragraph" w:styleId="Style22">
    <w:name w:val="Subtitle"/>
    <w:basedOn w:val="Normal"/>
    <w:next w:val="Normal"/>
    <w:link w:val="af0"/>
    <w:uiPriority w:val="11"/>
    <w:qFormat w:val="1"/>
    <w:rsid w:val="00FE0E4C"/>
    <w:pPr>
      <w:ind w:firstLine="709"/>
      <w:jc w:val="center"/>
    </w:pPr>
    <w:rPr>
      <w:rFonts w:cs="" w:eastAsia="" w:cstheme="majorBidi" w:eastAsiaTheme="majorEastAsia"/>
      <w:iCs w:val="1"/>
      <w:color w:val="05336e"/>
      <w:spacing w:val="15"/>
      <w:sz w:val="40"/>
      <w:szCs w:val="40"/>
    </w:rPr>
  </w:style>
  <w:style w:type="paragraph" w:styleId="Caption">
    <w:name w:val="caption"/>
    <w:basedOn w:val="Normal"/>
    <w:next w:val="Normal"/>
    <w:uiPriority w:val="35"/>
    <w:unhideWhenUsed w:val="1"/>
    <w:qFormat w:val="1"/>
    <w:rsid w:val="00F7295A"/>
    <w:pPr>
      <w:spacing w:after="200" w:before="200" w:line="240" w:lineRule="auto"/>
      <w:ind w:hanging="0"/>
      <w:jc w:val="center"/>
    </w:pPr>
    <w:rPr>
      <w:bCs w:val="1"/>
      <w:color w:val="auto"/>
      <w:sz w:val="24"/>
      <w:szCs w:val="24"/>
    </w:rPr>
  </w:style>
  <w:style w:type="paragraph" w:styleId="Style23" w:customStyle="1">
    <w:name w:val="абзац"/>
    <w:basedOn w:val="Normal"/>
    <w:link w:val="af4"/>
    <w:qFormat w:val="1"/>
    <w:rsid w:val="001816E6"/>
    <w:pPr>
      <w:spacing w:line="288" w:lineRule="auto"/>
      <w:ind w:firstLine="567"/>
    </w:pPr>
    <w:rPr>
      <w:rFonts w:ascii="Arial" w:cs="Arial" w:hAnsi="Arial"/>
      <w:color w:val="auto"/>
      <w:sz w:val="26"/>
      <w:szCs w:val="26"/>
      <w:lang w:eastAsia="en-US"/>
    </w:rPr>
  </w:style>
  <w:style w:type="paragraph" w:styleId="Style24">
    <w:name w:val="Содержимое врезки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>
    <w:name w:val="Table Grid"/>
    <w:basedOn w:val="a1"/>
    <w:uiPriority w:val="59"/>
    <w:unhideWhenUsed w:val="1"/>
    <w:rsid w:val="005F614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ind w:firstLine="709"/>
      <w:jc w:val="center"/>
    </w:pPr>
    <w:rPr>
      <w:color w:val="05336e"/>
      <w:sz w:val="40"/>
      <w:szCs w:val="4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aTfuvr5Ge6c6sIETpZqBdLTw/g==">AMUW2mVYkINpAcASvumV5APcXUxryG9TfzHRzPKEZhMdLafdcrt0LMALMlgM5IKyHJMyxBcpP0OKqfdSXLe5q2UltXHEj7PuiNPNPJ2FhW6cnuGd+JVromRoJMZ2KBEyQZ/HVcefO9sD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2021-12-12T17:37:00Z</dcterms:created>
  <dc:creator>RePack by Diakov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